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E" w:rsidRPr="00254C5D" w:rsidRDefault="00254C5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ylabus</w:t>
      </w:r>
      <w:proofErr w:type="spellEnd"/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modułów kształcenia na studiach podyplomowych</w:t>
      </w:r>
      <w:r w:rsidRPr="00254C5D">
        <w:rPr>
          <w:rStyle w:val="Pogrubienie"/>
          <w:rFonts w:ascii="Times New Roman" w:hAnsi="Arial" w:cs="Times New Roman"/>
          <w:color w:val="2A2A2A"/>
          <w:sz w:val="24"/>
          <w:szCs w:val="24"/>
          <w:shd w:val="clear" w:color="auto" w:fill="FFFFFF"/>
        </w:rPr>
        <w:t>﻿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Nazwa modułu kształcenia: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  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Dowód i dowodzenie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Nazwa jednostki prowadzącej moduł: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 Wydział Prawa i Administracji, Katedra Kryminalistyki Wydziału Prawa i Administracji UJ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Kod modułu: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KKSPD1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Język modułu kształcenia: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Polski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Efekty kształcenia dla modułu kształcenia: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Wiedza o dowodach i taktyce dowodzenia w procesie karnym, cywilnym, administracyjnym oraz w postępowaniu w sprawach o wykroczenia; o regułach oceny dowodów naukowych; źródłach i przyczynach pomyłek sądowych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Typ modułu kształcenia (obowiązkowy/fakultatywny): 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Obowiązkowy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Semestr: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    I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II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Imię i nazwisko osoby/osób prowadzących moduł: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Jerzy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Biederman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Radosław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Flejszar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 Hanna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Knysiak-Sudyka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Jan Kuklewicz, Barbara Nita-Światłowska, Andrzej Światłowski, Tadeusz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Widła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Józef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Wójcikiewicz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Imię i nazwisko osoby/osób egzaminującej/egzaminujących bądź udzielającej zaliczenia, w przypadku gdy nie jest to osoba prowadząca dany moduł: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    Józef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Wójcikiewicz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Sposób realizacji: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 Test jednokrotnego wyboru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Wymagania wstępne i dodatkowe: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 Brak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Rodzaj i liczba godzin zajęć dydaktycznych wymagających bezpośredniego udziału nauczyciela akademickiego i studentów, gdy w danym module przewidziane są takie zajęcia: 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25 godzin wykładu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Liczba punktów ECTS przypisana modułowi:  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10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Bilans punktów ECTS:</w:t>
      </w:r>
      <w:r w:rsidRPr="00254C5D">
        <w:rPr>
          <w:rStyle w:val="apple-converted-space"/>
          <w:rFonts w:ascii="Times New Roman" w:hAnsi="Times New Roman" w:cs="Times New Roman"/>
          <w:b/>
          <w:bCs/>
          <w:color w:val="2A2A2A"/>
          <w:sz w:val="24"/>
          <w:szCs w:val="24"/>
          <w:shd w:val="clear" w:color="auto" w:fill="FFFFFF"/>
        </w:rPr>
        <w:t> 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   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1 ECTS + 9 ECTS pracy własnej studenta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Stosowane metody dydaktyczne: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 Wykład interaktywny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Metody sprawdzania i oceny efektów kształcenia uzyskanych przez studentów: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   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Test jednokrotnego wyboru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Forma i warunki zaliczenia modułu, w tym zasady dopuszczenia do egzaminu, zaliczenia, a także forma i warunki zaliczenia poszczególnych zajęć wchodzących w zakres danego modułu: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Test jednokrotnego wyboru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Treści modułu kształcenia: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Pojęcie dowodu. Podziały dowodów. Dowody bezpośrednie i pośrednie. Dowody naukowe, nienaukowe, pseudonaukowe w procesie cywilnym i karnym i ich postrzeganie przez organy procesowe. Dowodzenie w procesie karnym, cywilnym, administracyjnym: podobieństwa i różnice. Ocena dowodów w procesie karnym (art. 7 k.p.k.), cywilnym (art. 233 § 1 k.p.c.) i administracyjnym (art. 77 k.p.a.).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Metaopinie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jako pomoc przy ocenie dowodów naukowych. Rodzaje biegłych (sądowi, z instytucji, </w:t>
      </w:r>
      <w:r w:rsidRPr="00254C5D">
        <w:rPr>
          <w:rStyle w:val="Uwydatn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ad hoc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). Opinia biegłego i jej ocena przez organy procesowe. Opinie niepełne, niejasne, sprzeczne. Taktyka dowodzenia przez prokuratora i adwokata. Niesłuszne skazanie a pomyłka sądowa. Odszkodowanie za niesłuszne skazanie, tymczasowe aresztowanie lub zatrzymanie (art. 552 k.p.k.). Przyczyny pomyłek sądowych: tumiwisizm organów procesowych, świadkowie koronni, pomyłki świadków rozpoznających? Skala pomyłek sądowych. Analiza przypadków polskich i obcych niesłusznych skazań 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>(</w:t>
      </w:r>
      <w:r w:rsidRPr="00254C5D">
        <w:rPr>
          <w:rStyle w:val="Uwydatn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innocenceproject.org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).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Wykaz literatury podstawowej i uzupełniającej: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Prawo dowodowe. Zarys wykładu, pod red. R. Kmiecika, Warszawa 2008.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Kryminalistyka. Przewodnik, pod red. D. Wilka, Toruń 2013.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Literaturę uzupełniającą podają P.T. wykładowcy.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Nazwa modułu kształcenia: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  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Czynności procesowo - kryminalistyczne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Nazwa jednostki prowadzącej moduł: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Wydział Prawa i Administracji, Katedra Kryminalistyki Wydziału Prawa i Administracji UJ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Kod modułu: 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KKSPD2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Język modułu kształcenia: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Polski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Efekty kształcenia dla modułu kształcenia: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Wiedza o metodyce przeprowadzania i ocenie wyników czynności procesowo-kryminalistycznych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Typ modułu kształcenia (obowiązkowy/fakultatywny):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  Obowiązkowy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Semestr: 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I i II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Imię i nazwisko osoby/osób prowadzących moduł: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Marian Krysiak, Violetta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Kwiatkowska-Wójcikiewicz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Teresa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Jaśkiewicz-Obydzińska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Andrzej Rogalski, Ewa Wach,  Józef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Wójcikiewicz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Imię i nazwisko osoby/osób egzaminującej/egzaminujących bądź udzielającej zaliczenia, w przypadku gdy nie jest to osoba prowadząca dany moduł: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     Józef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Wójcikiewicz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Sposób realizacji: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Test jednokrotnego wyboru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Wymagania wstępne i dodatkowe: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Brak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Rodzaj i liczba godzin zajęć dydaktycznych wymagających bezpośredniego udziału nauczyciela akademickiego i studentów, gdy w danym module przewidziane są takie zajęcia: 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 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36 godz.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Liczba punktów ECTS przypisana modułowi: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 15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Bilans punktów ECTS: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1.5 + 13.5 praca własna studenta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Stosowane metody dydaktyczne: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Wykład interaktywny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Metody sprawdzania i oceny efektów kształcenia uzyskanych przez studentów: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Test jednokrotnego wyboru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Forma i warunki zaliczenia modułu, w tym zasady dopuszczenia do egzaminu, zaliczenia, a także forma i warunki zaliczenia poszczególnych zajęć wchodzących w zakres danego modułu: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 Test jednokrotnego wyboru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Treści modułu kształcenia: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Definicja, podstawy prawne, metodyka, analiza wyników i praktyka oględzin, eksperymentu, przesłuchania, przeszukania, okazania. Eksperyment procesowy a eksperyment rzeczoznawczy. Psychologiczne podstawy wykorzystywania osobowych źródeł dowodowych. Przesłuchanie świadka. Szczególne formy przesłuchania (konfrontacja, przesłuchanie na miejscu zdarzenia, przesłuchanie biegłego, przesłuchanie świadka </w:t>
      </w:r>
      <w:r w:rsidRPr="00254C5D">
        <w:rPr>
          <w:rStyle w:val="Uwydatn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incognito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). Przesłuchanie świadków małoletnich (art. 185a i 185b k.p.k.). Przesłuchanie osób w wieku późnej dorosłości. Metody przesłuchania podejrzanego. Przesłuchanie poznawcze (</w:t>
      </w:r>
      <w:proofErr w:type="spellStart"/>
      <w:r w:rsidRPr="00254C5D">
        <w:rPr>
          <w:rStyle w:val="Uwydatn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cognitive</w:t>
      </w:r>
      <w:proofErr w:type="spellEnd"/>
      <w:r w:rsidRPr="00254C5D">
        <w:rPr>
          <w:rStyle w:val="Uwydatn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interview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). Okazanie symultaniczne i sekwencyjne. „Okazanie wyglądu” a „okazanie głosu i mowy”. Rola biegłego w ocenie wartości diagnostycznej okazania osób (analiza kazusów).  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lastRenderedPageBreak/>
        <w:t>Wykaz literatury podstawowej i uzupełniającej: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M.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Kulicki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V.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Kwiatkowska-Wójcikiewicz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L. Stępka, Kryminalistyka. Wybrane zagadnienia teorii i praktyki śledczo-sądowej, Toruń 2009.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Literaturę uzupełniającą podają P.T. wykładowcy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Nazwa modułu kształcenia: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 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Ekspertyza sądowa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Nazwa jednostki prowadzącej moduł: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Wydział Prawa i Administracji, Katedra Kryminalistyki Wydziału Prawa i Administracji UJ we współpracy z Katedrą i Zakładem Medycyny Sądowej Collegium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Medicum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UJ oraz Instytutem Ekspertyz Sądowych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Kod modułu: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KKSPD3 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Język modułu kształcenia: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Polski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Efekty kształcenia dla modułu kształcenia: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 Poznanie metodyki pracy ekspertów nauk sądowych oraz oceny wyników ekspertyz 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Typ modułu kształcenia (obowiązkowy/fakultatywny):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Obowiązkowy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Semestr: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  I i II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Imię i nazwisko osoby/osób prowadzących moduł: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Filip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Bolechała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Zuzanna Brożek-Mucha, Andrzej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Chochół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Andrzej Czubak, Wojciech Czubak, Józef Krzysztof Gierowski, Janusz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Heitzman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Maria Kała, Marcin Kunicki, Tomasz Kupiec, Robert Radziszewski, Edyta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Rzeszuto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Elżbieta Skupień, Leszek Stępka, Marcin Strona, Maciej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Szaszkiewicz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Maciej Świętek, Agata Trawińska, Jan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Unarski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Wojciech Wach, Jolanta Wąs-Gubała, Józef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Wójcikiewicz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Grzegorz Zadora, Dariusz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Zuba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Imię i nazwisko osoby/osób egzaminującej/egzaminujących bądź udzielającej zaliczenia, w przypadku gdy nie jest to osoba prowadząca dany moduł: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   Józef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Wójcikiewicz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Sposób realizacji: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  Test jednokrotnego wyboru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Wymagania wstępne i dodatkowe: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Brak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Rodzaj i liczba godzin zajęć dydaktycznych wymagających bezpośredniego udziału nauczyciela akademickiego i studentów, gdy w danym module przewidziane są takie zajęcia:</w:t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  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99 godz.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Liczba punktów ECTS przypisana modułowi: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 35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Bilans punktów ECTS: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  3.5 + 31.5 praca własna studenta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Stosowane metody dydaktyczne: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  Wykład interaktywny, prezentacja warsztatu biegłego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Metody sprawdzania i oceny efektów kształcenia uzyskanych przez studentów: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Test jednokrotnego wyboru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Forma i warunki zaliczenia modułu, w tym zasady dopuszczenia do egzaminu, zaliczenia, a także forma i warunki zaliczenia poszczególnych zajęć wchodzących w zakres danego modułu: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  Test jednokrotnego wyboru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Treści modułu kształcenia: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 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 Zabezpieczanie materiału do badań.  Kontaminacja. Zapewnienie jakości.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 Metodyka ekspertyz z dziedziny nauk sądowych: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·        psychologicznej (badania psychologiczne świadków-dzieci, badania ofiar molestowania seksualnego, ocena stanu psychicznego testatora i samobójcy, prawy opiekuńcze);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·        psychiatrycznej (w sprawach karnych i cywilnych, ocena poczytalności, 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lastRenderedPageBreak/>
        <w:t>ubezwłasnowolnienie, trudności w opiniowaniu);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·        osmologicznej (badania zapachów, próby osmologiczne kontrolne i próby właściwe, orzecznictwo sądowe polskie i obce, wartość diagnostyczna ekspertyzy osmologicznej);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·        genetycznej (badania genetyczne DNA jądrowego i DNA mitochondrialnego, DNA roślinny i zwierzęcy,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Low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Copy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Number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możliwości i ograniczenia ekspertyzy genetycznej,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interpretacja wyników według wnioskowania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bayesowskiego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·        fizykochemicznej (badania lakierów, szkła, gleby, możliwość identyfikacji indywidualnej);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·        mechanoskopijnej (wartość identyfikacyjna cech, badania „na całość”);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·       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traseologicznej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(wartość identyfikacyjna cech,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ichnogram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·        toksykologicznej (trucizny lotne, organiczne, nieorganiczne, przyczyny błędów w opiniowaniu);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·        alkohologicznej (metody badania zawartości alkoholu w organizmie, interpretacja wyników w kontekście przepisów prawa);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·        wypadku drogowego (samochód, pieszy, rowerzysta),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·       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medycznosądowej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(oględziny i otwarcie zwłok, ustalanie przyczyny zgonu);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·       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fonoskopijnej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(odsłuchiwanie mowy, indywidualizacja mówcy, opiniowanie kategoryczne a prawdopodobne);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·        pisma i dokumentów (uzyskiwanie materiału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bezwpływowego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, pobieranie materiału wpływowego, metody badania pisma ręcznego i dokumentów, subiektywizm biegłego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pismoznawcy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·        antropologicznej (odtwarzanie wyglądu, progresja wiekowa twarzy, identyfikacja osób na podstawie zdjęć i portretów pamięciowych);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·        balistycznej (balistyka zewnętrzna: broń palna i jej rodzaje, broń palna a gazowa, kaliber broni, ślady powodowane przez broń palną ślady - na ostrzelanej powierzchni, na strzelającym, na elementach naboju, ślady na broni palnej, balistyka chemiczna: zabezpieczanie śladów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powystrzałowych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, cząstki unikatowe a cząstki indykatywne, interpretacja wyników);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 xml:space="preserve">·       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wariograficznej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(status ekspertyzy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wariograficznej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i biegłego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wariografera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 w polskim procesie karnym, metody badań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wariograficznych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 xml:space="preserve">: CQT czy CIT, ograniczenia badania </w:t>
      </w:r>
      <w:proofErr w:type="spellStart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wariograficznego</w:t>
      </w:r>
      <w:proofErr w:type="spellEnd"/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·        informatycznej (identyfikacja narzędzi informatycznych);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·        biomechanicznej (upadki z wysokości, inne zdarzenia);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·        profilowanie sprawców przestępstw (przestępca zorganizowany a zdezorganizowany, profilowanie geograficzne, procesowe znaczenie ekspertyzy profilującej).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-       symulacji biomechanicznej w obrazie nauk sądowych;</w:t>
      </w:r>
      <w:r w:rsidRPr="00254C5D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t>-       badań plam krwawych w rekonstrukcji zdarzenia.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</w:r>
      <w:r w:rsidRPr="00254C5D">
        <w:rPr>
          <w:rStyle w:val="Pogrubienie"/>
          <w:rFonts w:ascii="Times New Roman" w:hAnsi="Times New Roman" w:cs="Times New Roman"/>
          <w:color w:val="2A2A2A"/>
          <w:sz w:val="24"/>
          <w:szCs w:val="24"/>
          <w:u w:val="single"/>
          <w:shd w:val="clear" w:color="auto" w:fill="FFFFFF"/>
        </w:rPr>
        <w:t>Wykaz literatury podstawowej i uzupełniającej: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Ekspertyza sądowa. Zagadnienia wybrane, pod red. M. Kały, D. Wilka, J. Wójcikiewicza, Warszawa 2017. </w:t>
      </w:r>
      <w:r w:rsidRPr="00254C5D">
        <w:rPr>
          <w:rFonts w:ascii="Times New Roman" w:hAnsi="Times New Roman" w:cs="Times New Roman"/>
          <w:color w:val="2A2A2A"/>
          <w:sz w:val="24"/>
          <w:szCs w:val="24"/>
          <w:shd w:val="clear" w:color="auto" w:fill="FFFFFF"/>
        </w:rPr>
        <w:br/>
        <w:t>Literaturę uzupełniającą podają P.T. Wykładowcy</w:t>
      </w:r>
    </w:p>
    <w:sectPr w:rsidR="008768AE" w:rsidRPr="00254C5D" w:rsidSect="0087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C5D"/>
    <w:rsid w:val="000C6136"/>
    <w:rsid w:val="00254C5D"/>
    <w:rsid w:val="0028654B"/>
    <w:rsid w:val="005A2887"/>
    <w:rsid w:val="005A595D"/>
    <w:rsid w:val="006677B5"/>
    <w:rsid w:val="006E75DB"/>
    <w:rsid w:val="008768AE"/>
    <w:rsid w:val="008A3452"/>
    <w:rsid w:val="00B11DFF"/>
    <w:rsid w:val="00C77270"/>
    <w:rsid w:val="00D2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68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54C5D"/>
    <w:rPr>
      <w:b/>
      <w:bCs/>
    </w:rPr>
  </w:style>
  <w:style w:type="character" w:customStyle="1" w:styleId="apple-converted-space">
    <w:name w:val="apple-converted-space"/>
    <w:basedOn w:val="Domylnaczcionkaakapitu"/>
    <w:rsid w:val="00254C5D"/>
  </w:style>
  <w:style w:type="character" w:styleId="Uwydatnienie">
    <w:name w:val="Emphasis"/>
    <w:basedOn w:val="Domylnaczcionkaakapitu"/>
    <w:uiPriority w:val="20"/>
    <w:qFormat/>
    <w:rsid w:val="00254C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2019-05-28T05:49:00Z</dcterms:created>
  <dcterms:modified xsi:type="dcterms:W3CDTF">2019-05-28T05:51:00Z</dcterms:modified>
</cp:coreProperties>
</file>